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C482D" w14:textId="5EF3BBBC" w:rsidR="00E81978" w:rsidRDefault="002476D5">
      <w:pPr>
        <w:pStyle w:val="Title"/>
      </w:pPr>
      <w:sdt>
        <w:sdtPr>
          <w:alias w:val="Title:"/>
          <w:tag w:val="Title:"/>
          <w:id w:val="726351117"/>
          <w:placeholder>
            <w:docPart w:val="A523F6FAD27F40EE8B5647D397CD0292"/>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94367">
            <w:t>Trident University International</w:t>
          </w:r>
        </w:sdtContent>
      </w:sdt>
    </w:p>
    <w:p w14:paraId="31D9A73D" w14:textId="4987EF64" w:rsidR="00B823AA" w:rsidRDefault="002476D5" w:rsidP="00B823AA">
      <w:pPr>
        <w:pStyle w:val="Title2"/>
      </w:pPr>
      <w:r>
        <w:t>Student’s Name</w:t>
      </w:r>
    </w:p>
    <w:p w14:paraId="7EF7A006" w14:textId="2AF23EB4" w:rsidR="00C94367" w:rsidRDefault="002476D5" w:rsidP="00B823AA">
      <w:pPr>
        <w:pStyle w:val="Title2"/>
      </w:pPr>
      <w:r>
        <w:t>Module 4 Case</w:t>
      </w:r>
    </w:p>
    <w:p w14:paraId="05F18E2E" w14:textId="6A30AA9B" w:rsidR="00E81978" w:rsidRDefault="002476D5" w:rsidP="00B823AA">
      <w:pPr>
        <w:pStyle w:val="Title2"/>
      </w:pPr>
      <w:r>
        <w:t>BUS401 International Business</w:t>
      </w:r>
    </w:p>
    <w:p w14:paraId="680DF59E" w14:textId="66F6CBC6" w:rsidR="00C94367" w:rsidRDefault="002476D5" w:rsidP="00B823AA">
      <w:pPr>
        <w:pStyle w:val="Title2"/>
      </w:pPr>
      <w:r>
        <w:t>Professor’s Name</w:t>
      </w:r>
    </w:p>
    <w:p w14:paraId="24F46391" w14:textId="2F97B97F" w:rsidR="00C94367" w:rsidRDefault="002476D5" w:rsidP="00B823AA">
      <w:pPr>
        <w:pStyle w:val="Title2"/>
      </w:pPr>
      <w:r>
        <w:t>Date of Submission</w:t>
      </w:r>
    </w:p>
    <w:p w14:paraId="5500BBF5" w14:textId="77777777" w:rsidR="00C94367" w:rsidRDefault="00C94367" w:rsidP="00B823AA">
      <w:pPr>
        <w:pStyle w:val="Title2"/>
      </w:pPr>
    </w:p>
    <w:p w14:paraId="4ADF2904" w14:textId="6AB419D2" w:rsidR="00E81978" w:rsidRDefault="00E81978" w:rsidP="00B823AA">
      <w:pPr>
        <w:pStyle w:val="Title2"/>
      </w:pPr>
    </w:p>
    <w:p w14:paraId="47BAB1D2" w14:textId="489BFF39" w:rsidR="00E81978" w:rsidRDefault="002476D5">
      <w:pPr>
        <w:pStyle w:val="SectionTitle"/>
      </w:pPr>
      <w:sdt>
        <w:sdtPr>
          <w:alias w:val="Section title:"/>
          <w:tag w:val="Section title:"/>
          <w:id w:val="984196707"/>
          <w:placeholder>
            <w:docPart w:val="88E29048965F4B64AE8C6390C45AAAAE"/>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94367">
            <w:t>Trident University International</w:t>
          </w:r>
        </w:sdtContent>
      </w:sdt>
      <w:r w:rsidR="00C94367">
        <w:t xml:space="preserve"> Module 4 Case</w:t>
      </w:r>
    </w:p>
    <w:p w14:paraId="6044A1D3" w14:textId="57CF7A36" w:rsidR="00E81978" w:rsidRDefault="002476D5">
      <w:r w:rsidRPr="00CC3FEA">
        <w:t xml:space="preserve">The trade of goods, services, technology, capital, and/or </w:t>
      </w:r>
      <w:r w:rsidRPr="00CC3FEA">
        <w:t>knowledge across national borders and on a global or transnational scale is referred to as international business</w:t>
      </w:r>
      <w:r w:rsidR="00290E08">
        <w:t xml:space="preserve"> (Cavusgil et al., 2014)</w:t>
      </w:r>
      <w:r w:rsidRPr="00CC3FEA">
        <w:t>.</w:t>
      </w:r>
      <w:r>
        <w:t xml:space="preserve"> </w:t>
      </w:r>
      <w:r w:rsidRPr="00CC3FEA">
        <w:t>Two macro-scale factors contribute to the globalization trend</w:t>
      </w:r>
      <w:r>
        <w:t>: t</w:t>
      </w:r>
      <w:r w:rsidRPr="00CC3FEA">
        <w:t>he first entails removing barriers to facilitate cros</w:t>
      </w:r>
      <w:r w:rsidRPr="00CC3FEA">
        <w:t>s-border trade</w:t>
      </w:r>
      <w:r>
        <w:t>, t</w:t>
      </w:r>
      <w:r w:rsidRPr="00CC3FEA">
        <w:t>he second factor is technological advancements, particularly in communication, information processing, and transportation.</w:t>
      </w:r>
    </w:p>
    <w:p w14:paraId="44010201" w14:textId="2C314D61" w:rsidR="00E81978" w:rsidRDefault="002476D5">
      <w:pPr>
        <w:pStyle w:val="Heading1"/>
      </w:pPr>
      <w:r>
        <w:t xml:space="preserve">Intellectual property </w:t>
      </w:r>
    </w:p>
    <w:p w14:paraId="75B6BED8" w14:textId="6D2D2C61" w:rsidR="00E81978" w:rsidRDefault="002476D5">
      <w:r w:rsidRPr="0094278F">
        <w:t>Intangible and tangible assets include intellectual property, which covers a diverse range of</w:t>
      </w:r>
      <w:r w:rsidRPr="0094278F">
        <w:t xml:space="preserve"> legally-protected rights such as patents, copyrights, trademarks, trade secrets, and designs, and other forms of intangibles such as human capital, contract rights, and goodwill</w:t>
      </w:r>
      <w:r w:rsidR="00290E08">
        <w:t xml:space="preserve"> (Drahos, P., 2016)</w:t>
      </w:r>
      <w:r w:rsidRPr="0094278F">
        <w:t>.</w:t>
      </w:r>
      <w:r>
        <w:t xml:space="preserve"> </w:t>
      </w:r>
      <w:r w:rsidR="000149B9" w:rsidRPr="000149B9">
        <w:t>Due to their increased aggressiveness against intellectual property (IP) theft, copyright pirates, brand impersonators, patent flouters, and trade secret thieves pose a significant threat to companies. IP includes these and all other original artistic works of monetary value that are legally covered.</w:t>
      </w:r>
    </w:p>
    <w:p w14:paraId="744064F5" w14:textId="4BB8B824" w:rsidR="003B2622" w:rsidRDefault="002476D5">
      <w:pPr>
        <w:rPr>
          <w:color w:val="222222"/>
          <w:shd w:val="clear" w:color="auto" w:fill="FFFFFF"/>
        </w:rPr>
      </w:pPr>
      <w:r w:rsidRPr="003B2622">
        <w:t>IP laws hon</w:t>
      </w:r>
      <w:r w:rsidRPr="003B2622">
        <w:t>or original work authors by prohibiting anyone from copying, executing, or sharing such works without permission. Some forms of intellectual property are automatically protected by law from the moment they are created. In contrast, others require a special</w:t>
      </w:r>
      <w:r w:rsidRPr="003B2622">
        <w:t xml:space="preserve"> grant of rights from a government entity before being protected. Although virtually every country has laws protecting intellectual property, some of them are not strictly enforced. As a result, counterfeiting is a significant issue in these regions.</w:t>
      </w:r>
      <w:r>
        <w:t xml:space="preserve"> </w:t>
      </w:r>
    </w:p>
    <w:p w14:paraId="087D2216" w14:textId="5B21CF37" w:rsidR="00A82DA9" w:rsidRDefault="002476D5">
      <w:r w:rsidRPr="00A82DA9">
        <w:lastRenderedPageBreak/>
        <w:t>Trad</w:t>
      </w:r>
      <w:r w:rsidRPr="00A82DA9">
        <w:t>e secrets and the right to publicity are examples of similar law fields that fall under the umbrella of intellectual property. Trade secret legislation safeguards a company's proprietary information and provides it with a competitive advantage.</w:t>
      </w:r>
      <w:r>
        <w:t xml:space="preserve"> </w:t>
      </w:r>
      <w:r w:rsidR="007C26EF">
        <w:t xml:space="preserve">An example of secrets protected by IP laws is the recipe of a certain product. </w:t>
      </w:r>
      <w:r w:rsidR="007C26EF" w:rsidRPr="007C26EF">
        <w:t>IP is distinct from other types of property in that it is intangible, a creation of the human mind. Because IP is intangible, it can be used by multiple people at the same time without causing a conflict.</w:t>
      </w:r>
      <w:r w:rsidR="00144270">
        <w:t xml:space="preserve"> </w:t>
      </w:r>
      <w:r w:rsidR="007C26EF">
        <w:t xml:space="preserve"> Risks affiliated with IP are</w:t>
      </w:r>
      <w:r w:rsidR="003F63AD">
        <w:t xml:space="preserve"> brand risk, access risk, compliance risk, business value, and availability risk. </w:t>
      </w:r>
    </w:p>
    <w:p w14:paraId="10E58CC1" w14:textId="3B175349" w:rsidR="003F63AD" w:rsidRDefault="002476D5">
      <w:r>
        <w:t xml:space="preserve">A company’s brand includes its image and reputation, a major part of its assets that need all possible protection. </w:t>
      </w:r>
      <w:r w:rsidR="00144270" w:rsidRPr="00144270">
        <w:t>It is important to be aware of IP rights' legal ramifications because there are so many of them</w:t>
      </w:r>
      <w:r w:rsidR="00144270">
        <w:t>, hence the compliance risk</w:t>
      </w:r>
      <w:r w:rsidR="00144270" w:rsidRPr="00144270">
        <w:t>.</w:t>
      </w:r>
      <w:r w:rsidR="00144270">
        <w:t xml:space="preserve"> </w:t>
      </w:r>
      <w:r w:rsidR="00144270" w:rsidRPr="00144270">
        <w:t>Access risk refers to the possibility that access to information may be allowed or denied erroneously. Trade secrets are safeguarded by access risk.</w:t>
      </w:r>
      <w:r w:rsidR="00144270">
        <w:t xml:space="preserve"> The </w:t>
      </w:r>
      <w:r w:rsidR="00144270" w:rsidRPr="00144270">
        <w:t>company makes information accessible, but all information must be well-protected against potential infringements</w:t>
      </w:r>
      <w:r w:rsidR="00144270">
        <w:t xml:space="preserve"> by the availability risk</w:t>
      </w:r>
      <w:r w:rsidR="00144270" w:rsidRPr="00144270">
        <w:t>.</w:t>
      </w:r>
      <w:r w:rsidR="00144270">
        <w:t xml:space="preserve"> </w:t>
      </w:r>
      <w:r w:rsidR="00144270" w:rsidRPr="00144270">
        <w:t xml:space="preserve">It is critical to be aware of and monitor a company's intellectual property and understand its </w:t>
      </w:r>
      <w:r w:rsidR="00144270">
        <w:t xml:space="preserve">business value. </w:t>
      </w:r>
    </w:p>
    <w:p w14:paraId="08E2FD5A" w14:textId="61582F2D" w:rsidR="00144270" w:rsidRDefault="002476D5">
      <w:r w:rsidRPr="0025587E">
        <w:t>Without intellectual property rules, it would be simple to copy original works and sell them for a low price, leaving the original authors with no way to profit from their efforts. As a result, it is illegal to replicate different types of IP without t</w:t>
      </w:r>
      <w:r w:rsidRPr="0025587E">
        <w:t>he creator's permission.</w:t>
      </w:r>
      <w:r>
        <w:t xml:space="preserve"> </w:t>
      </w:r>
      <w:r w:rsidRPr="0025587E">
        <w:t xml:space="preserve">Most intellectual property rights expire after a certain amount of time has passed. This allows the rest of society to profit from the work after the maker has received a just reward for their efforts. The area of trademark law is </w:t>
      </w:r>
      <w:r w:rsidRPr="0025587E">
        <w:t xml:space="preserve">the only exception </w:t>
      </w:r>
      <w:r w:rsidRPr="0025587E">
        <w:lastRenderedPageBreak/>
        <w:t>to the restricted duration of IP protection. Trademark rights never disappear as long as the trademark is used to describe a merchant's specific product.</w:t>
      </w:r>
    </w:p>
    <w:p w14:paraId="33A1A41E" w14:textId="77777777" w:rsidR="00144270" w:rsidRPr="00A82DA9" w:rsidRDefault="00144270"/>
    <w:p w14:paraId="6C278054" w14:textId="77777777" w:rsidR="00CB6FFA" w:rsidRDefault="00CB6FFA" w:rsidP="00DC0A98">
      <w:pPr>
        <w:pStyle w:val="Heading2"/>
        <w:ind w:left="2160" w:firstLine="720"/>
      </w:pPr>
    </w:p>
    <w:p w14:paraId="7EC4668A" w14:textId="2FF88588" w:rsidR="00E81978" w:rsidRDefault="002476D5" w:rsidP="00DC0A98">
      <w:pPr>
        <w:pStyle w:val="Heading2"/>
        <w:ind w:left="2160" w:firstLine="720"/>
      </w:pPr>
      <w:r>
        <w:t xml:space="preserve">Global </w:t>
      </w:r>
      <w:r w:rsidR="00DC0A98">
        <w:t>Commerce legal issues</w:t>
      </w:r>
    </w:p>
    <w:p w14:paraId="64230EB8" w14:textId="77777777" w:rsidR="00CB6FFA" w:rsidRPr="00CB6FFA" w:rsidRDefault="002476D5" w:rsidP="00DC0A98">
      <w:pPr>
        <w:rPr>
          <w:b/>
        </w:rPr>
      </w:pPr>
      <w:r w:rsidRPr="00CB6FFA">
        <w:rPr>
          <w:b/>
        </w:rPr>
        <w:t>Application of U.S. Laws</w:t>
      </w:r>
    </w:p>
    <w:p w14:paraId="0FAA654F" w14:textId="68EC6D55" w:rsidR="00DC0A98" w:rsidRDefault="002476D5" w:rsidP="00DC0A98">
      <w:r w:rsidRPr="00DC0A98">
        <w:t xml:space="preserve">Some US laws still </w:t>
      </w:r>
      <w:r w:rsidRPr="00DC0A98">
        <w:t>apply to foreign business activities, whether a branch or subsidiary is created, a distributor is used, or a company is simply exporting. The US Department of Commerce controls exports, and some sensitive products that may modify for military use can requi</w:t>
      </w:r>
      <w:r w:rsidRPr="00DC0A98">
        <w:t>re an export license</w:t>
      </w:r>
      <w:r w:rsidR="00C94367">
        <w:t xml:space="preserve"> (Kwilinski et al., 2019)</w:t>
      </w:r>
      <w:r w:rsidRPr="00DC0A98">
        <w:t>. Certain nations, such as North Korea, Syria, and Iran, are banned from exporting to the United States, and businesses must ensure that their overseas customers do not wish to trans-ship goods to a restricted a</w:t>
      </w:r>
      <w:r w:rsidRPr="00DC0A98">
        <w:t>rea.</w:t>
      </w:r>
      <w:r>
        <w:t xml:space="preserve"> </w:t>
      </w:r>
      <w:r w:rsidR="00CB6FFA">
        <w:t>For example, t</w:t>
      </w:r>
      <w:r w:rsidR="00CB6FFA" w:rsidRPr="00CB6FFA">
        <w:t>he Foreign Corrupt Practices Act forbids U.S. businesses and their employees from paying bribes to foreign government officials or falsifying documents to hide those payments.</w:t>
      </w:r>
    </w:p>
    <w:p w14:paraId="53B168CC" w14:textId="2E5490BC" w:rsidR="00CB6FFA" w:rsidRPr="00CB6FFA" w:rsidRDefault="002476D5" w:rsidP="00DC0A98">
      <w:pPr>
        <w:rPr>
          <w:b/>
        </w:rPr>
      </w:pPr>
      <w:r w:rsidRPr="00CB6FFA">
        <w:rPr>
          <w:b/>
        </w:rPr>
        <w:t>Legal Framework of the target market</w:t>
      </w:r>
    </w:p>
    <w:p w14:paraId="7D41353D" w14:textId="75D006A6" w:rsidR="00CB6FFA" w:rsidRDefault="002476D5" w:rsidP="00DC0A98">
      <w:r>
        <w:t>A large number of countr</w:t>
      </w:r>
      <w:r>
        <w:t xml:space="preserve">ies outside the United States use European civil law. The contracts in these countries </w:t>
      </w:r>
      <w:r w:rsidR="0082206F">
        <w:t>tend to have fewer specifications on legal matters affecting businesses, and therefore should be looked at keenly to avoid</w:t>
      </w:r>
      <w:r w:rsidR="00576B00">
        <w:t xml:space="preserve"> disputes with local courts. </w:t>
      </w:r>
      <w:r w:rsidR="00576B00" w:rsidRPr="00576B00">
        <w:t xml:space="preserve">If </w:t>
      </w:r>
      <w:r w:rsidR="00576B00">
        <w:t xml:space="preserve">one </w:t>
      </w:r>
      <w:r w:rsidR="00576B00" w:rsidRPr="00576B00">
        <w:t>want</w:t>
      </w:r>
      <w:r w:rsidR="00576B00">
        <w:t>s</w:t>
      </w:r>
      <w:r w:rsidR="00576B00" w:rsidRPr="00576B00">
        <w:t xml:space="preserve"> to recruit local workers in </w:t>
      </w:r>
      <w:r w:rsidR="00576B00">
        <w:t>their</w:t>
      </w:r>
      <w:r w:rsidR="00576B00" w:rsidRPr="00576B00">
        <w:t xml:space="preserve"> target country, it's important to understand the discrepancies between US employment law and its employment laws. Many workers will be required by local law to have a formal employment contract, clear </w:t>
      </w:r>
      <w:r w:rsidR="00576B00" w:rsidRPr="00576B00">
        <w:lastRenderedPageBreak/>
        <w:t>notice periods before termination, and regular severance compensation based on length of service.</w:t>
      </w:r>
    </w:p>
    <w:p w14:paraId="0CA2AF5B" w14:textId="77777777" w:rsidR="00215717" w:rsidRDefault="002476D5" w:rsidP="00215717">
      <w:pPr>
        <w:jc w:val="center"/>
        <w:rPr>
          <w:b/>
        </w:rPr>
      </w:pPr>
      <w:r>
        <w:rPr>
          <w:b/>
        </w:rPr>
        <w:t>Sources of political risk</w:t>
      </w:r>
    </w:p>
    <w:p w14:paraId="788524D2" w14:textId="2A835D65" w:rsidR="00215717" w:rsidRPr="00215717" w:rsidRDefault="002476D5" w:rsidP="00DC0A98">
      <w:pPr>
        <w:rPr>
          <w:b/>
        </w:rPr>
      </w:pPr>
      <w:r w:rsidRPr="00215717">
        <w:rPr>
          <w:b/>
        </w:rPr>
        <w:t>The gradual seizing of property</w:t>
      </w:r>
    </w:p>
    <w:p w14:paraId="1EDD4C07" w14:textId="1D8C8F1F" w:rsidR="00290E08" w:rsidRDefault="002476D5" w:rsidP="00DC0A98">
      <w:r w:rsidRPr="00215717">
        <w:t>Expropriation refers to a government's quick action to seize a foreign entity's properties; however, in incremental expropriation, the host government targets a single international corporation.</w:t>
      </w:r>
      <w:r>
        <w:t xml:space="preserve"> </w:t>
      </w:r>
      <w:r w:rsidR="00CE42BE" w:rsidRPr="00CE42BE">
        <w:t>Gradual expropriation entails the gradual abolition of property rights by measures such as a tax increase on income to make a foreign company less attractive, an increase in property tax, the erection of new barriers, and a change in the proportion of ownership that must be owned locally. The company's own title remains in the foreign investor's name during gradual expropriation, but the right to use the business is limited due to government intervention</w:t>
      </w:r>
      <w:r w:rsidR="00C94367">
        <w:t xml:space="preserve"> (Jakobsen, J., 2010)</w:t>
      </w:r>
      <w:r w:rsidR="00CE42BE" w:rsidRPr="00CE42BE">
        <w:t>.</w:t>
      </w:r>
    </w:p>
    <w:p w14:paraId="06BA261B" w14:textId="2ABA7E0A" w:rsidR="00CB6FFA" w:rsidRDefault="002476D5" w:rsidP="00DC0A98">
      <w:r>
        <w:t xml:space="preserve"> </w:t>
      </w:r>
      <w:r w:rsidR="00580866" w:rsidRPr="00580866">
        <w:t>Rather than providing a fast fix for economic growth, expropriation and imperialism have often resulted in nationalized enterprises that were inefficient, technologically poor, and noncompetitive in global markets. Over the last two decades, the risks of confiscation and expropriation have decreased because experience has shown that few expected benefits materialize after a government takeover. As a condition of entry, many countries now require prospective investors to agree to share ownership, use local content, enter labor and management agreements, and share participation in export sales, effectively requiring the business to become domesticated.</w:t>
      </w:r>
    </w:p>
    <w:p w14:paraId="4F8202C6" w14:textId="0C88BC7C" w:rsidR="00290E08" w:rsidRDefault="002476D5" w:rsidP="00DC0A98">
      <w:r w:rsidRPr="00290E08">
        <w:t>Expropriation and confiscation are dwindling as risks of doing business abroad, but foreign businesses still face a range of economic risks that can strike without notice. Restrictions on business act</w:t>
      </w:r>
      <w:r w:rsidRPr="00290E08">
        <w:t xml:space="preserve">ivity may be placed under the guise of national security to </w:t>
      </w:r>
      <w:r w:rsidRPr="00290E08">
        <w:lastRenderedPageBreak/>
        <w:t xml:space="preserve">protect a fledgling industry, preserve foreign exchange, increase revenue, or retaliate against unfair trade practices, among various other actual or imaginary reasons. Few foreign businesses may </w:t>
      </w:r>
      <w:r w:rsidRPr="00290E08">
        <w:t>escape these economic risks because they are an integral and persistent part of the political climate.</w:t>
      </w:r>
    </w:p>
    <w:p w14:paraId="3FBE481C" w14:textId="77777777" w:rsidR="00215717" w:rsidRPr="00215717" w:rsidRDefault="002476D5" w:rsidP="00DC0A98">
      <w:pPr>
        <w:rPr>
          <w:b/>
        </w:rPr>
      </w:pPr>
      <w:r w:rsidRPr="00215717">
        <w:rPr>
          <w:b/>
        </w:rPr>
        <w:t>Currency inconvertibility</w:t>
      </w:r>
    </w:p>
    <w:p w14:paraId="608BA99E" w14:textId="73773878" w:rsidR="00215717" w:rsidRPr="00DC0A98" w:rsidRDefault="002476D5" w:rsidP="00DC0A98">
      <w:r w:rsidRPr="00215717">
        <w:t xml:space="preserve">The term "currency inconvertibility" refers to a condition in which one currency cannot be converted or exchanged for another. </w:t>
      </w:r>
      <w:r w:rsidRPr="00215717">
        <w:t xml:space="preserve">This is yet another political risk for a company doing business in another country. In this case, a foreign government can limit foreign firms' ability to repatriate profits to their home country, resulting in all profits remaining in the foreign country. </w:t>
      </w:r>
      <w:r w:rsidRPr="00215717">
        <w:t>Currency inconvertibility may occur as a result of new legislation or administrative delays. Administrative delays cause a foreign country's bureaucracy to take longer to convert currencies, putting a financial strain on foreign businesses.</w:t>
      </w:r>
      <w:r>
        <w:t xml:space="preserve"> </w:t>
      </w:r>
      <w:r w:rsidRPr="00215717">
        <w:t>To protect peop</w:t>
      </w:r>
      <w:r w:rsidRPr="00215717">
        <w:t>le from perceived imperialist infiltration, some countries issue inconvertible currency; similarly, domestic regulators consider foreign currency inconvertible to protect local investors from poor investment decisions, such as currency hyperinflation.</w:t>
      </w:r>
    </w:p>
    <w:sdt>
      <w:sdtPr>
        <w:rPr>
          <w:rFonts w:asciiTheme="minorHAnsi" w:eastAsiaTheme="minorEastAsia" w:hAnsiTheme="minorHAnsi" w:cstheme="minorBidi"/>
        </w:rPr>
        <w:id w:val="62297111"/>
        <w:docPartObj>
          <w:docPartGallery w:val="Bibliographies"/>
          <w:docPartUnique/>
        </w:docPartObj>
      </w:sdtPr>
      <w:sdtEndPr>
        <w:rPr>
          <w:rFonts w:ascii="Arial" w:hAnsi="Arial" w:cs="Arial"/>
          <w:sz w:val="20"/>
          <w:szCs w:val="20"/>
        </w:rPr>
      </w:sdtEndPr>
      <w:sdtContent>
        <w:p w14:paraId="0C7265B3" w14:textId="77777777" w:rsidR="00E81978" w:rsidRDefault="002476D5">
          <w:pPr>
            <w:pStyle w:val="SectionTitle"/>
          </w:pPr>
          <w:r>
            <w:t>Refe</w:t>
          </w:r>
          <w:r>
            <w:t>rences</w:t>
          </w:r>
        </w:p>
        <w:p w14:paraId="715FFF27" w14:textId="77777777" w:rsidR="00290E08" w:rsidRPr="00C94367" w:rsidRDefault="002476D5" w:rsidP="00C94367">
          <w:pPr>
            <w:pStyle w:val="Bibliography"/>
            <w:rPr>
              <w:rFonts w:ascii="Arial" w:hAnsi="Arial" w:cs="Arial"/>
              <w:b/>
              <w:bCs/>
              <w:noProof/>
              <w:sz w:val="20"/>
              <w:szCs w:val="20"/>
            </w:rPr>
          </w:pPr>
          <w:r w:rsidRPr="00C94367">
            <w:rPr>
              <w:rFonts w:ascii="Arial" w:hAnsi="Arial" w:cs="Arial"/>
              <w:sz w:val="20"/>
              <w:szCs w:val="20"/>
            </w:rPr>
            <w:fldChar w:fldCharType="begin"/>
          </w:r>
          <w:r w:rsidRPr="00C94367">
            <w:rPr>
              <w:rFonts w:ascii="Arial" w:hAnsi="Arial" w:cs="Arial"/>
              <w:sz w:val="20"/>
              <w:szCs w:val="20"/>
            </w:rPr>
            <w:instrText xml:space="preserve"> BIBLIOGRAPHY </w:instrText>
          </w:r>
          <w:r w:rsidRPr="00C94367">
            <w:rPr>
              <w:rFonts w:ascii="Arial" w:hAnsi="Arial" w:cs="Arial"/>
              <w:sz w:val="20"/>
              <w:szCs w:val="20"/>
            </w:rPr>
            <w:fldChar w:fldCharType="separate"/>
          </w:r>
          <w:r w:rsidRPr="00C94367">
            <w:rPr>
              <w:rFonts w:ascii="Arial" w:hAnsi="Arial" w:cs="Arial"/>
              <w:color w:val="222222"/>
              <w:sz w:val="20"/>
              <w:szCs w:val="20"/>
              <w:shd w:val="clear" w:color="auto" w:fill="FFFFFF"/>
            </w:rPr>
            <w:t>Cavusgil, S. T., Knight, G., Riesenberger, J. R., Rammal, H. G., &amp; Rose, E. L. (2014). </w:t>
          </w:r>
          <w:r w:rsidRPr="00C94367">
            <w:rPr>
              <w:rFonts w:ascii="Arial" w:hAnsi="Arial" w:cs="Arial"/>
              <w:i/>
              <w:iCs/>
              <w:color w:val="222222"/>
              <w:sz w:val="20"/>
              <w:szCs w:val="20"/>
              <w:shd w:val="clear" w:color="auto" w:fill="FFFFFF"/>
            </w:rPr>
            <w:t>International business</w:t>
          </w:r>
          <w:r w:rsidRPr="00C94367">
            <w:rPr>
              <w:rFonts w:ascii="Arial" w:hAnsi="Arial" w:cs="Arial"/>
              <w:color w:val="222222"/>
              <w:sz w:val="20"/>
              <w:szCs w:val="20"/>
              <w:shd w:val="clear" w:color="auto" w:fill="FFFFFF"/>
            </w:rPr>
            <w:t>. Pearson Australia</w:t>
          </w:r>
          <w:r w:rsidRPr="00C94367">
            <w:rPr>
              <w:rFonts w:ascii="Arial" w:hAnsi="Arial" w:cs="Arial"/>
              <w:noProof/>
              <w:sz w:val="20"/>
              <w:szCs w:val="20"/>
            </w:rPr>
            <w:t>.</w:t>
          </w:r>
          <w:r w:rsidRPr="00C94367">
            <w:rPr>
              <w:rFonts w:ascii="Arial" w:hAnsi="Arial" w:cs="Arial"/>
              <w:b/>
              <w:bCs/>
              <w:noProof/>
              <w:sz w:val="20"/>
              <w:szCs w:val="20"/>
            </w:rPr>
            <w:fldChar w:fldCharType="end"/>
          </w:r>
        </w:p>
        <w:p w14:paraId="371E1635" w14:textId="77777777" w:rsidR="00290E08" w:rsidRPr="00C94367" w:rsidRDefault="002476D5" w:rsidP="00C94367">
          <w:pPr>
            <w:ind w:hanging="720"/>
            <w:rPr>
              <w:rFonts w:ascii="Arial" w:hAnsi="Arial" w:cs="Arial"/>
              <w:sz w:val="20"/>
              <w:szCs w:val="20"/>
            </w:rPr>
          </w:pPr>
        </w:p>
      </w:sdtContent>
    </w:sdt>
    <w:p w14:paraId="6D407055" w14:textId="790C8690" w:rsidR="00E81978" w:rsidRPr="00C94367" w:rsidRDefault="002476D5" w:rsidP="00C94367">
      <w:pPr>
        <w:ind w:hanging="720"/>
        <w:rPr>
          <w:rFonts w:ascii="Arial" w:hAnsi="Arial" w:cs="Arial"/>
          <w:color w:val="222222"/>
          <w:sz w:val="20"/>
          <w:szCs w:val="20"/>
          <w:shd w:val="clear" w:color="auto" w:fill="FFFFFF"/>
        </w:rPr>
      </w:pPr>
      <w:r w:rsidRPr="00C94367">
        <w:rPr>
          <w:rFonts w:ascii="Arial" w:hAnsi="Arial" w:cs="Arial"/>
          <w:color w:val="222222"/>
          <w:sz w:val="20"/>
          <w:szCs w:val="20"/>
          <w:shd w:val="clear" w:color="auto" w:fill="FFFFFF"/>
        </w:rPr>
        <w:t>Drahos, P. (2016). </w:t>
      </w:r>
      <w:r w:rsidRPr="00C94367">
        <w:rPr>
          <w:rFonts w:ascii="Arial" w:hAnsi="Arial" w:cs="Arial"/>
          <w:i/>
          <w:iCs/>
          <w:color w:val="222222"/>
          <w:sz w:val="20"/>
          <w:szCs w:val="20"/>
          <w:shd w:val="clear" w:color="auto" w:fill="FFFFFF"/>
        </w:rPr>
        <w:t>A philosophy of intellectual property</w:t>
      </w:r>
      <w:r w:rsidRPr="00C94367">
        <w:rPr>
          <w:rFonts w:ascii="Arial" w:hAnsi="Arial" w:cs="Arial"/>
          <w:color w:val="222222"/>
          <w:sz w:val="20"/>
          <w:szCs w:val="20"/>
          <w:shd w:val="clear" w:color="auto" w:fill="FFFFFF"/>
        </w:rPr>
        <w:t>. Routledge.</w:t>
      </w:r>
    </w:p>
    <w:p w14:paraId="18DF8631" w14:textId="77777777" w:rsidR="00C94367" w:rsidRPr="00C94367" w:rsidRDefault="002476D5" w:rsidP="00C94367">
      <w:pPr>
        <w:ind w:hanging="720"/>
        <w:rPr>
          <w:rFonts w:ascii="Arial" w:hAnsi="Arial" w:cs="Arial"/>
          <w:color w:val="222222"/>
          <w:sz w:val="20"/>
          <w:szCs w:val="20"/>
          <w:shd w:val="clear" w:color="auto" w:fill="FFFFFF"/>
        </w:rPr>
      </w:pPr>
      <w:r w:rsidRPr="00C94367">
        <w:rPr>
          <w:rFonts w:ascii="Arial" w:hAnsi="Arial" w:cs="Arial"/>
          <w:color w:val="222222"/>
          <w:sz w:val="20"/>
          <w:szCs w:val="20"/>
          <w:shd w:val="clear" w:color="auto" w:fill="FFFFFF"/>
        </w:rPr>
        <w:t xml:space="preserve">Jakobsen, J. (2010). Old </w:t>
      </w:r>
      <w:r w:rsidRPr="00C94367">
        <w:rPr>
          <w:rFonts w:ascii="Arial" w:hAnsi="Arial" w:cs="Arial"/>
          <w:color w:val="222222"/>
          <w:sz w:val="20"/>
          <w:szCs w:val="20"/>
          <w:shd w:val="clear" w:color="auto" w:fill="FFFFFF"/>
        </w:rPr>
        <w:t>problems remain, new ones crop up: Political risk in the 21st century. </w:t>
      </w:r>
      <w:r w:rsidRPr="00C94367">
        <w:rPr>
          <w:rFonts w:ascii="Arial" w:hAnsi="Arial" w:cs="Arial"/>
          <w:i/>
          <w:iCs/>
          <w:color w:val="222222"/>
          <w:sz w:val="20"/>
          <w:szCs w:val="20"/>
          <w:shd w:val="clear" w:color="auto" w:fill="FFFFFF"/>
        </w:rPr>
        <w:t>Business Horizons</w:t>
      </w:r>
      <w:r w:rsidRPr="00C94367">
        <w:rPr>
          <w:rFonts w:ascii="Arial" w:hAnsi="Arial" w:cs="Arial"/>
          <w:color w:val="222222"/>
          <w:sz w:val="20"/>
          <w:szCs w:val="20"/>
          <w:shd w:val="clear" w:color="auto" w:fill="FFFFFF"/>
        </w:rPr>
        <w:t>, </w:t>
      </w:r>
      <w:r w:rsidRPr="00C94367">
        <w:rPr>
          <w:rFonts w:ascii="Arial" w:hAnsi="Arial" w:cs="Arial"/>
          <w:i/>
          <w:iCs/>
          <w:color w:val="222222"/>
          <w:sz w:val="20"/>
          <w:szCs w:val="20"/>
          <w:shd w:val="clear" w:color="auto" w:fill="FFFFFF"/>
        </w:rPr>
        <w:t>53</w:t>
      </w:r>
      <w:r w:rsidRPr="00C94367">
        <w:rPr>
          <w:rFonts w:ascii="Arial" w:hAnsi="Arial" w:cs="Arial"/>
          <w:color w:val="222222"/>
          <w:sz w:val="20"/>
          <w:szCs w:val="20"/>
          <w:shd w:val="clear" w:color="auto" w:fill="FFFFFF"/>
        </w:rPr>
        <w:t>(5), 481-490.</w:t>
      </w:r>
    </w:p>
    <w:p w14:paraId="70932FEE" w14:textId="020F1D31" w:rsidR="00290E08" w:rsidRPr="00C94367" w:rsidRDefault="002476D5" w:rsidP="00C94367">
      <w:pPr>
        <w:ind w:hanging="720"/>
        <w:rPr>
          <w:rFonts w:ascii="Arial" w:hAnsi="Arial" w:cs="Arial"/>
          <w:color w:val="222222"/>
          <w:sz w:val="20"/>
          <w:szCs w:val="20"/>
          <w:shd w:val="clear" w:color="auto" w:fill="FFFFFF"/>
        </w:rPr>
      </w:pPr>
      <w:r w:rsidRPr="00C94367">
        <w:rPr>
          <w:rFonts w:ascii="Arial" w:hAnsi="Arial" w:cs="Arial"/>
          <w:color w:val="222222"/>
          <w:sz w:val="20"/>
          <w:szCs w:val="20"/>
          <w:shd w:val="clear" w:color="auto" w:fill="FFFFFF"/>
        </w:rPr>
        <w:t xml:space="preserve"> Kwilinski, A., Volynets, R., Berdnik, I., Holovko, M., &amp; Berzin, P. (2019). E-Commerce: Concept and Legal Regulation in Modern Economic Conditions. </w:t>
      </w:r>
      <w:r w:rsidRPr="00C94367">
        <w:rPr>
          <w:rFonts w:ascii="Arial" w:hAnsi="Arial" w:cs="Arial"/>
          <w:i/>
          <w:iCs/>
          <w:color w:val="222222"/>
          <w:sz w:val="20"/>
          <w:szCs w:val="20"/>
          <w:shd w:val="clear" w:color="auto" w:fill="FFFFFF"/>
        </w:rPr>
        <w:t>J</w:t>
      </w:r>
      <w:r w:rsidRPr="00C94367">
        <w:rPr>
          <w:rFonts w:ascii="Arial" w:hAnsi="Arial" w:cs="Arial"/>
          <w:i/>
          <w:iCs/>
          <w:color w:val="222222"/>
          <w:sz w:val="20"/>
          <w:szCs w:val="20"/>
          <w:shd w:val="clear" w:color="auto" w:fill="FFFFFF"/>
        </w:rPr>
        <w:t>ournal of Legal, Ethical and Regulatory Issues</w:t>
      </w:r>
      <w:r w:rsidRPr="00C94367">
        <w:rPr>
          <w:rFonts w:ascii="Arial" w:hAnsi="Arial" w:cs="Arial"/>
          <w:color w:val="222222"/>
          <w:sz w:val="20"/>
          <w:szCs w:val="20"/>
          <w:shd w:val="clear" w:color="auto" w:fill="FFFFFF"/>
        </w:rPr>
        <w:t>, </w:t>
      </w:r>
      <w:r w:rsidRPr="00C94367">
        <w:rPr>
          <w:rFonts w:ascii="Arial" w:hAnsi="Arial" w:cs="Arial"/>
          <w:i/>
          <w:iCs/>
          <w:color w:val="222222"/>
          <w:sz w:val="20"/>
          <w:szCs w:val="20"/>
          <w:shd w:val="clear" w:color="auto" w:fill="FFFFFF"/>
        </w:rPr>
        <w:t>22</w:t>
      </w:r>
      <w:r w:rsidRPr="00C94367">
        <w:rPr>
          <w:rFonts w:ascii="Arial" w:hAnsi="Arial" w:cs="Arial"/>
          <w:color w:val="222222"/>
          <w:sz w:val="20"/>
          <w:szCs w:val="20"/>
          <w:shd w:val="clear" w:color="auto" w:fill="FFFFFF"/>
        </w:rPr>
        <w:t>, 1-6.</w:t>
      </w:r>
    </w:p>
    <w:p w14:paraId="31E1F061" w14:textId="77777777" w:rsidR="00C94367" w:rsidRPr="00C94367" w:rsidRDefault="00C94367" w:rsidP="00C94367">
      <w:pPr>
        <w:ind w:hanging="720"/>
        <w:rPr>
          <w:rFonts w:ascii="Arial" w:hAnsi="Arial" w:cs="Arial"/>
          <w:sz w:val="20"/>
          <w:szCs w:val="20"/>
        </w:rPr>
      </w:pPr>
    </w:p>
    <w:sectPr w:rsidR="00C94367" w:rsidRPr="00C94367">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4DE25" w14:textId="77777777" w:rsidR="00000000" w:rsidRDefault="002476D5">
      <w:pPr>
        <w:spacing w:line="240" w:lineRule="auto"/>
      </w:pPr>
      <w:r>
        <w:separator/>
      </w:r>
    </w:p>
  </w:endnote>
  <w:endnote w:type="continuationSeparator" w:id="0">
    <w:p w14:paraId="12849333" w14:textId="77777777" w:rsidR="00000000" w:rsidRDefault="002476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0224F" w14:textId="77777777" w:rsidR="00000000" w:rsidRDefault="002476D5">
      <w:pPr>
        <w:spacing w:line="240" w:lineRule="auto"/>
      </w:pPr>
      <w:r>
        <w:separator/>
      </w:r>
    </w:p>
  </w:footnote>
  <w:footnote w:type="continuationSeparator" w:id="0">
    <w:p w14:paraId="7EEE4B2B" w14:textId="77777777" w:rsidR="00000000" w:rsidRDefault="002476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A1163" w14:textId="3B4B3D27" w:rsidR="00E81978" w:rsidRDefault="002476D5">
    <w:pPr>
      <w:pStyle w:val="Header"/>
    </w:pPr>
    <w:sdt>
      <w:sdtPr>
        <w:rPr>
          <w:rStyle w:val="Strong"/>
        </w:rPr>
        <w:alias w:val="Running head"/>
        <w:id w:val="12739865"/>
        <w:placeholder>
          <w:docPart w:val="4FF0359565FE42C19BB1B39C3CA14ED5"/>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DC0A98">
          <w:rPr>
            <w:rStyle w:val="Strong"/>
          </w:rPr>
          <w:t>international business module 4 case</w:t>
        </w:r>
      </w:sdtContent>
    </w:sdt>
    <w: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FE1F0" w14:textId="7A28CEAF" w:rsidR="00E81978" w:rsidRDefault="002476D5">
    <w:pPr>
      <w:pStyle w:val="Header"/>
      <w:rPr>
        <w:rStyle w:val="Strong"/>
      </w:rPr>
    </w:pPr>
    <w:r>
      <w:t xml:space="preserve">Running head: </w:t>
    </w:r>
    <w:sdt>
      <w:sdtPr>
        <w:rPr>
          <w:rStyle w:val="Strong"/>
        </w:rPr>
        <w:alias w:val="Running head"/>
        <w:id w:val="-696842620"/>
        <w:placeholder>
          <w:docPart w:val="1CBEB0DA8DB44A21B5B9FB3BA01C93BC"/>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DC0A98">
          <w:rPr>
            <w:rStyle w:val="Strong"/>
          </w:rPr>
          <w:t>international business module 4 case</w:t>
        </w:r>
      </w:sdtContent>
    </w:sdt>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5E"/>
    <w:rsid w:val="000149B9"/>
    <w:rsid w:val="000D3F41"/>
    <w:rsid w:val="00144270"/>
    <w:rsid w:val="001A2710"/>
    <w:rsid w:val="00215717"/>
    <w:rsid w:val="002476D5"/>
    <w:rsid w:val="0025587E"/>
    <w:rsid w:val="00290E08"/>
    <w:rsid w:val="00355DCA"/>
    <w:rsid w:val="00376F5E"/>
    <w:rsid w:val="003B2622"/>
    <w:rsid w:val="003F63AD"/>
    <w:rsid w:val="00550869"/>
    <w:rsid w:val="00551A02"/>
    <w:rsid w:val="005534FA"/>
    <w:rsid w:val="00576B00"/>
    <w:rsid w:val="00580866"/>
    <w:rsid w:val="005D3A03"/>
    <w:rsid w:val="007C26EF"/>
    <w:rsid w:val="008002C0"/>
    <w:rsid w:val="00816598"/>
    <w:rsid w:val="0082206F"/>
    <w:rsid w:val="008C5323"/>
    <w:rsid w:val="0094278F"/>
    <w:rsid w:val="009A6A3B"/>
    <w:rsid w:val="00A82DA9"/>
    <w:rsid w:val="00B823AA"/>
    <w:rsid w:val="00BA45DB"/>
    <w:rsid w:val="00BF4184"/>
    <w:rsid w:val="00C0601E"/>
    <w:rsid w:val="00C31D30"/>
    <w:rsid w:val="00C94367"/>
    <w:rsid w:val="00CB6FFA"/>
    <w:rsid w:val="00CC3FEA"/>
    <w:rsid w:val="00CD6E39"/>
    <w:rsid w:val="00CE42BE"/>
    <w:rsid w:val="00CF6E91"/>
    <w:rsid w:val="00D85B68"/>
    <w:rsid w:val="00DC0A98"/>
    <w:rsid w:val="00E6004D"/>
    <w:rsid w:val="00E81978"/>
    <w:rsid w:val="00F379B7"/>
    <w:rsid w:val="00F525FA"/>
    <w:rsid w:val="00FB6440"/>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CB1ADA5"/>
  <w15:chartTrackingRefBased/>
  <w15:docId w15:val="{B57E3620-A115-4CB6-A392-430C54B8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glossaryDocument" Target="glossary/document.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header" Target="header2.xml" /><Relationship Id="rId4" Type="http://schemas.openxmlformats.org/officeDocument/2006/relationships/styles" Target="styles.xml" /><Relationship Id="rId9" Type="http://schemas.openxmlformats.org/officeDocument/2006/relationships/header" Target="header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APA%20style%20report%20(6th%20edition)(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23F6FAD27F40EE8B5647D397CD0292"/>
        <w:category>
          <w:name w:val="General"/>
          <w:gallery w:val="placeholder"/>
        </w:category>
        <w:types>
          <w:type w:val="bbPlcHdr"/>
        </w:types>
        <w:behaviors>
          <w:behavior w:val="content"/>
        </w:behaviors>
        <w:guid w:val="{8BE306FB-CBBA-4E47-89BE-3C384F8020C9}"/>
      </w:docPartPr>
      <w:docPartBody>
        <w:p w:rsidR="0010496A" w:rsidRDefault="0010496A">
          <w:pPr>
            <w:pStyle w:val="A523F6FAD27F40EE8B5647D397CD0292"/>
          </w:pPr>
          <w:r>
            <w:t>[Title Here, up to 12 Words, on One to Two Lines]</w:t>
          </w:r>
        </w:p>
      </w:docPartBody>
    </w:docPart>
    <w:docPart>
      <w:docPartPr>
        <w:name w:val="88E29048965F4B64AE8C6390C45AAAAE"/>
        <w:category>
          <w:name w:val="General"/>
          <w:gallery w:val="placeholder"/>
        </w:category>
        <w:types>
          <w:type w:val="bbPlcHdr"/>
        </w:types>
        <w:behaviors>
          <w:behavior w:val="content"/>
        </w:behaviors>
        <w:guid w:val="{BDB4C577-48FE-4148-9282-6DA68FAD25A3}"/>
      </w:docPartPr>
      <w:docPartBody>
        <w:p w:rsidR="0010496A" w:rsidRDefault="0010496A">
          <w:pPr>
            <w:pStyle w:val="88E29048965F4B64AE8C6390C45AAAAE"/>
          </w:pPr>
          <w:r>
            <w:t>[Title Here, up to 12 Words, on One to Two Lines]</w:t>
          </w:r>
        </w:p>
      </w:docPartBody>
    </w:docPart>
    <w:docPart>
      <w:docPartPr>
        <w:name w:val="4FF0359565FE42C19BB1B39C3CA14ED5"/>
        <w:category>
          <w:name w:val="General"/>
          <w:gallery w:val="placeholder"/>
        </w:category>
        <w:types>
          <w:type w:val="bbPlcHdr"/>
        </w:types>
        <w:behaviors>
          <w:behavior w:val="content"/>
        </w:behaviors>
        <w:guid w:val="{FBE42851-05DC-4A69-996C-0E509D0400C0}"/>
      </w:docPartPr>
      <w:docPartBody>
        <w:p w:rsidR="0010496A" w:rsidRDefault="0010496A">
          <w:pPr>
            <w:pStyle w:val="4FF0359565FE42C19BB1B39C3CA14ED5"/>
          </w:pPr>
          <w:r w:rsidRPr="005D3A03">
            <w:t>Figures title:</w:t>
          </w:r>
        </w:p>
      </w:docPartBody>
    </w:docPart>
    <w:docPart>
      <w:docPartPr>
        <w:name w:val="1CBEB0DA8DB44A21B5B9FB3BA01C93BC"/>
        <w:category>
          <w:name w:val="General"/>
          <w:gallery w:val="placeholder"/>
        </w:category>
        <w:types>
          <w:type w:val="bbPlcHdr"/>
        </w:types>
        <w:behaviors>
          <w:behavior w:val="content"/>
        </w:behaviors>
        <w:guid w:val="{B7330771-2619-4F4F-A56B-CD8CBF069EA1}"/>
      </w:docPartPr>
      <w:docPartBody>
        <w:p w:rsidR="0010496A" w:rsidRDefault="0010496A">
          <w:pPr>
            <w:pStyle w:val="1CBEB0DA8DB44A21B5B9FB3BA01C93BC"/>
          </w:pPr>
          <w:r>
            <w:t xml:space="preserve">[Include all figures in their own section, following references (and footnotes and tables, if applicable).  Include a numbered </w:t>
          </w:r>
          <w:r>
            <w:t>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9E"/>
    <w:rsid w:val="0010496A"/>
    <w:rsid w:val="00F1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23F6FAD27F40EE8B5647D397CD0292">
    <w:name w:val="A523F6FAD27F40EE8B5647D397CD0292"/>
  </w:style>
  <w:style w:type="character" w:styleId="Emphasis">
    <w:name w:val="Emphasis"/>
    <w:basedOn w:val="DefaultParagraphFont"/>
    <w:uiPriority w:val="4"/>
    <w:unhideWhenUsed/>
    <w:qFormat/>
    <w:rPr>
      <w:i/>
      <w:iCs/>
    </w:rPr>
  </w:style>
  <w:style w:type="paragraph" w:customStyle="1" w:styleId="88E29048965F4B64AE8C6390C45AAAAE">
    <w:name w:val="88E29048965F4B64AE8C6390C45AAAAE"/>
  </w:style>
  <w:style w:type="paragraph" w:customStyle="1" w:styleId="4FF0359565FE42C19BB1B39C3CA14ED5">
    <w:name w:val="4FF0359565FE42C19BB1B39C3CA14ED5"/>
  </w:style>
  <w:style w:type="paragraph" w:customStyle="1" w:styleId="1CBEB0DA8DB44A21B5B9FB3BA01C93BC">
    <w:name w:val="1CBEB0DA8DB44A21B5B9FB3BA01C9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international business module 4 case</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D82E1A-E673-44D9-99BB-504C99F7F30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APA%20style%20report%20(6th%20edition)(2).dotx</Template>
  <TotalTime>1</TotalTime>
  <Pages>7</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International Business Module 4 Case</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Trident University International</dc:title>
  <dc:creator>ASUS</dc:creator>
  <cp:lastModifiedBy>254716226303</cp:lastModifiedBy>
  <cp:revision>2</cp:revision>
  <dcterms:created xsi:type="dcterms:W3CDTF">2021-03-11T22:26:00Z</dcterms:created>
  <dcterms:modified xsi:type="dcterms:W3CDTF">2021-03-11T22:26:00Z</dcterms:modified>
</cp:coreProperties>
</file>